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42ED" w14:textId="77777777" w:rsidR="000525DD" w:rsidRPr="00BB1B5B" w:rsidRDefault="000525DD" w:rsidP="00EE33BB">
      <w:pPr>
        <w:ind w:left="5529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Додаток 3</w:t>
      </w:r>
    </w:p>
    <w:p w14:paraId="442A52B1" w14:textId="71EDD5F3" w:rsidR="000525DD" w:rsidRPr="00BB1B5B" w:rsidRDefault="000525DD" w:rsidP="00EE33BB">
      <w:pPr>
        <w:ind w:left="5529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до Положення</w:t>
      </w:r>
      <w:r>
        <w:rPr>
          <w:sz w:val="28"/>
          <w:szCs w:val="28"/>
          <w:lang w:val="uk-UA"/>
        </w:rPr>
        <w:t xml:space="preserve"> </w:t>
      </w:r>
      <w:r w:rsidRPr="00BB1B5B">
        <w:rPr>
          <w:color w:val="000000"/>
          <w:sz w:val="28"/>
          <w:szCs w:val="28"/>
          <w:lang w:val="uk-UA"/>
        </w:rPr>
        <w:t>про введення режимів</w:t>
      </w:r>
      <w:r w:rsidR="00EE33BB">
        <w:rPr>
          <w:color w:val="000000"/>
          <w:sz w:val="28"/>
          <w:szCs w:val="28"/>
          <w:lang w:val="uk-UA"/>
        </w:rPr>
        <w:t xml:space="preserve"> </w:t>
      </w:r>
      <w:r w:rsidRPr="00BB1B5B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EE33BB">
        <w:rPr>
          <w:color w:val="000000"/>
          <w:sz w:val="28"/>
          <w:szCs w:val="28"/>
          <w:lang w:val="uk-UA"/>
        </w:rPr>
        <w:t xml:space="preserve"> </w:t>
      </w:r>
      <w:r w:rsidR="009472F5">
        <w:rPr>
          <w:color w:val="000000"/>
          <w:sz w:val="28"/>
          <w:szCs w:val="28"/>
          <w:lang w:val="uk-UA"/>
        </w:rPr>
        <w:t>Ковельського району</w:t>
      </w:r>
      <w:r w:rsidRPr="00BB1B5B">
        <w:rPr>
          <w:color w:val="000000"/>
          <w:sz w:val="28"/>
          <w:szCs w:val="28"/>
          <w:lang w:val="uk-UA"/>
        </w:rPr>
        <w:t xml:space="preserve"> у разі виникнення</w:t>
      </w:r>
      <w:r w:rsidR="00EE33BB">
        <w:rPr>
          <w:color w:val="000000"/>
          <w:sz w:val="28"/>
          <w:szCs w:val="28"/>
          <w:lang w:val="uk-UA"/>
        </w:rPr>
        <w:t xml:space="preserve"> </w:t>
      </w:r>
      <w:r w:rsidRPr="00BB1B5B">
        <w:rPr>
          <w:color w:val="000000"/>
          <w:sz w:val="28"/>
          <w:szCs w:val="28"/>
          <w:lang w:val="uk-UA"/>
        </w:rPr>
        <w:t>радіаційних аварій</w:t>
      </w:r>
      <w:r>
        <w:rPr>
          <w:color w:val="000000"/>
          <w:sz w:val="28"/>
          <w:szCs w:val="28"/>
          <w:lang w:val="uk-UA"/>
        </w:rPr>
        <w:t xml:space="preserve"> </w:t>
      </w:r>
      <w:r w:rsidRPr="00BB1B5B">
        <w:rPr>
          <w:sz w:val="28"/>
          <w:szCs w:val="28"/>
          <w:lang w:val="uk-UA"/>
        </w:rPr>
        <w:t>(</w:t>
      </w:r>
      <w:r w:rsidR="00EE33BB">
        <w:rPr>
          <w:sz w:val="28"/>
          <w:szCs w:val="28"/>
          <w:lang w:val="uk-UA"/>
        </w:rPr>
        <w:t xml:space="preserve">абзац восьмий </w:t>
      </w:r>
      <w:r w:rsidR="00EE33BB" w:rsidRPr="00EE33BB">
        <w:rPr>
          <w:sz w:val="28"/>
          <w:szCs w:val="28"/>
          <w:lang w:val="uk-UA"/>
        </w:rPr>
        <w:t>підпункту</w:t>
      </w:r>
      <w:r w:rsidR="009472F5">
        <w:rPr>
          <w:sz w:val="28"/>
          <w:szCs w:val="28"/>
          <w:lang w:val="uk-UA"/>
        </w:rPr>
        <w:t> </w:t>
      </w:r>
      <w:r w:rsidR="00EE33BB" w:rsidRPr="00EE33BB">
        <w:rPr>
          <w:sz w:val="28"/>
          <w:szCs w:val="28"/>
          <w:lang w:val="uk-UA"/>
        </w:rPr>
        <w:t xml:space="preserve">6 пункту 2 розділу </w:t>
      </w:r>
      <w:r w:rsidR="00EE33BB" w:rsidRPr="00F34895">
        <w:rPr>
          <w:bCs/>
          <w:color w:val="000000"/>
          <w:sz w:val="28"/>
          <w:szCs w:val="28"/>
          <w:lang w:val="uk-UA"/>
        </w:rPr>
        <w:t>І</w:t>
      </w:r>
      <w:r w:rsidR="00EE33BB" w:rsidRPr="00F34895">
        <w:rPr>
          <w:bCs/>
          <w:color w:val="000000"/>
          <w:sz w:val="28"/>
          <w:szCs w:val="28"/>
          <w:lang w:val="en-US"/>
        </w:rPr>
        <w:t>V</w:t>
      </w:r>
      <w:r w:rsidRPr="00BB1B5B">
        <w:rPr>
          <w:sz w:val="28"/>
          <w:szCs w:val="28"/>
          <w:lang w:val="uk-UA"/>
        </w:rPr>
        <w:t>)</w:t>
      </w:r>
    </w:p>
    <w:p w14:paraId="26B32CEA" w14:textId="77777777" w:rsidR="000525DD" w:rsidRPr="00BB1B5B" w:rsidRDefault="000525DD" w:rsidP="00817042">
      <w:pPr>
        <w:jc w:val="right"/>
        <w:rPr>
          <w:lang w:val="uk-UA"/>
        </w:rPr>
      </w:pPr>
    </w:p>
    <w:p w14:paraId="42CED3F7" w14:textId="77777777" w:rsidR="000525DD" w:rsidRPr="00BB1B5B" w:rsidRDefault="000525DD" w:rsidP="00D72DA7">
      <w:pPr>
        <w:jc w:val="center"/>
        <w:rPr>
          <w:b/>
          <w:bCs/>
          <w:sz w:val="28"/>
          <w:szCs w:val="28"/>
          <w:lang w:val="uk-UA"/>
        </w:rPr>
      </w:pPr>
      <w:r w:rsidRPr="00BB1B5B">
        <w:rPr>
          <w:b/>
          <w:bCs/>
          <w:sz w:val="28"/>
          <w:szCs w:val="28"/>
          <w:lang w:val="uk-UA"/>
        </w:rPr>
        <w:t>Д</w:t>
      </w:r>
      <w:r w:rsidR="00F22C5B">
        <w:rPr>
          <w:b/>
          <w:bCs/>
          <w:sz w:val="28"/>
          <w:szCs w:val="28"/>
          <w:lang w:val="uk-UA"/>
        </w:rPr>
        <w:t>ОВГОСТРОКОВІ КОНТРЗАХОДИ</w:t>
      </w:r>
    </w:p>
    <w:p w14:paraId="13A68519" w14:textId="77777777" w:rsidR="000525DD" w:rsidRPr="00BB1B5B" w:rsidRDefault="000525DD" w:rsidP="00817042">
      <w:pPr>
        <w:jc w:val="both"/>
        <w:rPr>
          <w:b/>
          <w:bCs/>
          <w:sz w:val="28"/>
          <w:szCs w:val="28"/>
          <w:lang w:val="uk-UA"/>
        </w:rPr>
      </w:pPr>
    </w:p>
    <w:p w14:paraId="764CC5CD" w14:textId="77777777" w:rsidR="000525DD" w:rsidRPr="00BB1B5B" w:rsidRDefault="00F22C5B" w:rsidP="00524D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525DD" w:rsidRPr="00BB1B5B">
        <w:rPr>
          <w:sz w:val="28"/>
          <w:szCs w:val="28"/>
          <w:lang w:val="uk-UA"/>
        </w:rPr>
        <w:t xml:space="preserve">Довгострокові контрзаходи (тимчасове відселення, переселення, дезактивація території і радіоактивно забруднених будівель та споруд, обмеження вживання радіоактивно забрудненої води і продуктів харчування на досить тривалий час, сільськогосподарські та інші, </w:t>
      </w:r>
      <w:r>
        <w:rPr>
          <w:sz w:val="28"/>
          <w:szCs w:val="28"/>
          <w:lang w:val="uk-UA"/>
        </w:rPr>
        <w:t>урахову</w:t>
      </w:r>
      <w:r w:rsidR="000525DD" w:rsidRPr="00BB1B5B">
        <w:rPr>
          <w:sz w:val="28"/>
          <w:szCs w:val="28"/>
          <w:lang w:val="uk-UA"/>
        </w:rPr>
        <w:t>ючи індустріально-технічні) проводяться в умовах, коли:</w:t>
      </w:r>
    </w:p>
    <w:p w14:paraId="7A4D52BD" w14:textId="77777777" w:rsidR="000525DD" w:rsidRPr="00BB1B5B" w:rsidRDefault="000525DD" w:rsidP="00F22C5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дані радіаційного моніторингу дозволяють зробити досить надійний прогноз розвитку ситуації;</w:t>
      </w:r>
    </w:p>
    <w:p w14:paraId="036C13E0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організації, які відповідають за проведення довгострокових контрзаходів, мають для цього достатньо ресурсів (матеріально-технічних, транспортних, запасів продовольства та ін.);</w:t>
      </w:r>
    </w:p>
    <w:p w14:paraId="64432B8D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процедура оптимізації показує і виправданість, і необхідність такої акції, тобто користь від дози, відвернутої довгостроковим контрзаходом, перевищує збиток, яким подібне втручання супроводжується;</w:t>
      </w:r>
    </w:p>
    <w:p w14:paraId="7FEA9C62" w14:textId="77777777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є досить надійна науково-технічна експертиза ефективності запланованих довгострокових контрзаходів.</w:t>
      </w:r>
    </w:p>
    <w:p w14:paraId="667E4579" w14:textId="77777777" w:rsidR="00093FD6" w:rsidRPr="00BB1B5B" w:rsidRDefault="00093FD6" w:rsidP="00524D45">
      <w:pPr>
        <w:ind w:firstLine="567"/>
        <w:jc w:val="both"/>
        <w:rPr>
          <w:sz w:val="28"/>
          <w:szCs w:val="28"/>
          <w:lang w:val="uk-UA"/>
        </w:rPr>
      </w:pPr>
    </w:p>
    <w:p w14:paraId="153C2620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2. Під час формування рішення про проведення довгострокових контрзаходів стосовно кожної конкретної аварійної ситуації в процедурі оптимізації мають бути враховані:</w:t>
      </w:r>
    </w:p>
    <w:p w14:paraId="3F8F5412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масштаб аварії;</w:t>
      </w:r>
    </w:p>
    <w:p w14:paraId="78990416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кількість населених пунктів і загальна чисельність жителів у них, до яких планується застосування таких довгострокових контрзаходів, як тимчасове відселення чи переселення;</w:t>
      </w:r>
    </w:p>
    <w:p w14:paraId="213EC01F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наявність (відсутність) необхідних для реалізації довгострокового контрзаходу ресурсів;</w:t>
      </w:r>
    </w:p>
    <w:p w14:paraId="7F5D301D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загальна площа угідь, на яких передбачається здійснити сільськогосподарські контрзаходи;</w:t>
      </w:r>
    </w:p>
    <w:p w14:paraId="350BB3FC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стан транспортних комунікацій і засобів перевезення людей (чи підвозу продуктів, фуражу і техніки);</w:t>
      </w:r>
    </w:p>
    <w:p w14:paraId="1D04904F" w14:textId="77777777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інші фактори, які визначають можливість проведення відповідних контрзаходів.</w:t>
      </w:r>
    </w:p>
    <w:p w14:paraId="5320DE4C" w14:textId="77777777" w:rsidR="00093FD6" w:rsidRPr="00BB1B5B" w:rsidRDefault="00093FD6" w:rsidP="00524D45">
      <w:pPr>
        <w:ind w:firstLine="567"/>
        <w:jc w:val="both"/>
        <w:rPr>
          <w:sz w:val="28"/>
          <w:szCs w:val="28"/>
          <w:lang w:val="uk-UA"/>
        </w:rPr>
      </w:pPr>
    </w:p>
    <w:p w14:paraId="2EFCDAE8" w14:textId="77777777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 xml:space="preserve">3. Втручання слід вважати безумовно виправданим, якщо довгостроковим контрзаходом відвертається така прогнозна доза, яка перевищує значення </w:t>
      </w:r>
      <w:r w:rsidRPr="00BB1B5B">
        <w:rPr>
          <w:sz w:val="28"/>
          <w:szCs w:val="28"/>
          <w:lang w:val="uk-UA"/>
        </w:rPr>
        <w:lastRenderedPageBreak/>
        <w:t>рівнів, наведених у таблиці 1 (або пов’язаних з ними рівнів дії).</w:t>
      </w:r>
    </w:p>
    <w:p w14:paraId="3566D331" w14:textId="77777777" w:rsidR="00093FD6" w:rsidRPr="009472F5" w:rsidRDefault="00093FD6" w:rsidP="00524D45">
      <w:pPr>
        <w:ind w:firstLine="567"/>
        <w:jc w:val="both"/>
        <w:rPr>
          <w:lang w:val="uk-UA"/>
        </w:rPr>
      </w:pPr>
    </w:p>
    <w:p w14:paraId="44C0E1A2" w14:textId="76B443BB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4</w:t>
      </w:r>
      <w:r w:rsidR="00093FD6">
        <w:rPr>
          <w:sz w:val="28"/>
          <w:szCs w:val="28"/>
          <w:lang w:val="uk-UA"/>
        </w:rPr>
        <w:t>. Застосування такого втручання</w:t>
      </w:r>
      <w:r w:rsidR="009472F5">
        <w:rPr>
          <w:sz w:val="28"/>
          <w:szCs w:val="28"/>
          <w:lang w:val="uk-UA"/>
        </w:rPr>
        <w:t>,</w:t>
      </w:r>
      <w:r w:rsidRPr="00BB1B5B">
        <w:rPr>
          <w:sz w:val="28"/>
          <w:szCs w:val="28"/>
          <w:lang w:val="uk-UA"/>
        </w:rPr>
        <w:t xml:space="preserve"> як ти</w:t>
      </w:r>
      <w:r w:rsidR="00093FD6">
        <w:rPr>
          <w:sz w:val="28"/>
          <w:szCs w:val="28"/>
          <w:lang w:val="uk-UA"/>
        </w:rPr>
        <w:t>мчасове відселення* (таблиця 2)</w:t>
      </w:r>
      <w:r w:rsidRPr="00BB1B5B">
        <w:rPr>
          <w:sz w:val="28"/>
          <w:szCs w:val="28"/>
          <w:lang w:val="uk-UA"/>
        </w:rPr>
        <w:t xml:space="preserve"> вимагає поєднання низки</w:t>
      </w:r>
      <w:r>
        <w:rPr>
          <w:sz w:val="28"/>
          <w:szCs w:val="28"/>
          <w:lang w:val="uk-UA"/>
        </w:rPr>
        <w:t xml:space="preserve"> </w:t>
      </w:r>
      <w:r w:rsidRPr="00BB1B5B">
        <w:rPr>
          <w:sz w:val="28"/>
          <w:szCs w:val="28"/>
          <w:lang w:val="uk-UA"/>
        </w:rPr>
        <w:t>певних особливостей і умов, які випливають із прогнозу динаміки розвитку радіаційної обстановки, а саме:</w:t>
      </w:r>
    </w:p>
    <w:p w14:paraId="369CCDBB" w14:textId="77777777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ab/>
        <w:t>* Тимчасове відселення і евакуація передбачають переміщення людей із зони аварії на деякий обмежений час. Проте евакуація здійснюється в режимі екстреного контрзаходу на ранній фазі аварії, тоді як тимчасове переселення проводиться лише після детального вивчення радіаційних обставин (звичай</w:t>
      </w:r>
      <w:r w:rsidR="00770B79">
        <w:rPr>
          <w:sz w:val="28"/>
          <w:szCs w:val="28"/>
          <w:lang w:val="uk-UA"/>
        </w:rPr>
        <w:t>но середня і навіть пізня фази);</w:t>
      </w:r>
    </w:p>
    <w:p w14:paraId="388D5C85" w14:textId="77777777" w:rsidR="00770B79" w:rsidRPr="00770B79" w:rsidRDefault="00770B79" w:rsidP="00524D45">
      <w:pPr>
        <w:ind w:firstLine="567"/>
        <w:jc w:val="both"/>
        <w:rPr>
          <w:sz w:val="16"/>
          <w:szCs w:val="16"/>
          <w:lang w:val="uk-UA"/>
        </w:rPr>
      </w:pPr>
    </w:p>
    <w:p w14:paraId="22232F23" w14:textId="77777777" w:rsidR="000525DD" w:rsidRDefault="00770B79" w:rsidP="00524D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0525DD" w:rsidRPr="00BB1B5B">
        <w:rPr>
          <w:sz w:val="28"/>
          <w:szCs w:val="28"/>
          <w:lang w:val="uk-UA"/>
        </w:rPr>
        <w:t>відносно високий темп прогнозованого покращення радіаційних обставин через відсутність у складі радіоактивного забруднення території таких довгоживучих радіонуклідів як Cо</w:t>
      </w:r>
      <w:r w:rsidR="000525DD" w:rsidRPr="00BB1B5B">
        <w:rPr>
          <w:sz w:val="28"/>
          <w:szCs w:val="28"/>
          <w:vertAlign w:val="superscript"/>
          <w:lang w:val="uk-UA"/>
        </w:rPr>
        <w:t>60</w:t>
      </w:r>
      <w:r w:rsidR="000525DD" w:rsidRPr="00BB1B5B">
        <w:rPr>
          <w:sz w:val="28"/>
          <w:szCs w:val="28"/>
          <w:lang w:val="uk-UA"/>
        </w:rPr>
        <w:t>, Cs</w:t>
      </w:r>
      <w:r w:rsidR="000525DD" w:rsidRPr="00BB1B5B">
        <w:rPr>
          <w:sz w:val="28"/>
          <w:szCs w:val="28"/>
          <w:vertAlign w:val="superscript"/>
          <w:lang w:val="uk-UA"/>
        </w:rPr>
        <w:t>134</w:t>
      </w:r>
      <w:r w:rsidR="000525DD" w:rsidRPr="00BB1B5B">
        <w:rPr>
          <w:sz w:val="28"/>
          <w:szCs w:val="28"/>
          <w:lang w:val="uk-UA"/>
        </w:rPr>
        <w:t>, Cs</w:t>
      </w:r>
      <w:r w:rsidR="000525DD" w:rsidRPr="00BB1B5B">
        <w:rPr>
          <w:sz w:val="28"/>
          <w:szCs w:val="28"/>
          <w:vertAlign w:val="superscript"/>
          <w:lang w:val="uk-UA"/>
        </w:rPr>
        <w:t>137</w:t>
      </w:r>
      <w:r w:rsidR="000525DD" w:rsidRPr="00BB1B5B">
        <w:rPr>
          <w:sz w:val="28"/>
          <w:szCs w:val="28"/>
          <w:lang w:val="uk-UA"/>
        </w:rPr>
        <w:t>, Sr</w:t>
      </w:r>
      <w:r w:rsidR="000525DD" w:rsidRPr="00BB1B5B">
        <w:rPr>
          <w:sz w:val="28"/>
          <w:szCs w:val="28"/>
          <w:vertAlign w:val="superscript"/>
          <w:lang w:val="uk-UA"/>
        </w:rPr>
        <w:t>90</w:t>
      </w:r>
      <w:r w:rsidR="000525DD" w:rsidRPr="00BB1B5B">
        <w:rPr>
          <w:sz w:val="28"/>
          <w:szCs w:val="28"/>
          <w:lang w:val="uk-UA"/>
        </w:rPr>
        <w:t>, Ra</w:t>
      </w:r>
      <w:r w:rsidR="000525DD" w:rsidRPr="00BB1B5B">
        <w:rPr>
          <w:sz w:val="28"/>
          <w:szCs w:val="28"/>
          <w:vertAlign w:val="superscript"/>
          <w:lang w:val="uk-UA"/>
        </w:rPr>
        <w:t>226</w:t>
      </w:r>
      <w:r w:rsidR="000525DD" w:rsidRPr="00BB1B5B">
        <w:rPr>
          <w:sz w:val="28"/>
          <w:szCs w:val="28"/>
          <w:lang w:val="uk-UA"/>
        </w:rPr>
        <w:t>, Po</w:t>
      </w:r>
      <w:r w:rsidR="000525DD" w:rsidRPr="00BB1B5B">
        <w:rPr>
          <w:sz w:val="28"/>
          <w:szCs w:val="28"/>
          <w:vertAlign w:val="superscript"/>
          <w:lang w:val="uk-UA"/>
        </w:rPr>
        <w:t>210</w:t>
      </w:r>
      <w:r w:rsidR="000525DD" w:rsidRPr="00BB1B5B">
        <w:rPr>
          <w:sz w:val="28"/>
          <w:szCs w:val="28"/>
          <w:lang w:val="uk-UA"/>
        </w:rPr>
        <w:t>, ізотопів плутонію, Am</w:t>
      </w:r>
      <w:r w:rsidR="000525DD" w:rsidRPr="00BB1B5B">
        <w:rPr>
          <w:sz w:val="28"/>
          <w:szCs w:val="28"/>
          <w:vertAlign w:val="superscript"/>
          <w:lang w:val="uk-UA"/>
        </w:rPr>
        <w:t>241</w:t>
      </w:r>
      <w:r>
        <w:rPr>
          <w:sz w:val="28"/>
          <w:szCs w:val="28"/>
          <w:lang w:val="uk-UA"/>
        </w:rPr>
        <w:t>та ін.;</w:t>
      </w:r>
    </w:p>
    <w:p w14:paraId="3AD41CDE" w14:textId="77777777" w:rsidR="00770B79" w:rsidRPr="00770B79" w:rsidRDefault="00770B79" w:rsidP="00524D45">
      <w:pPr>
        <w:ind w:firstLine="567"/>
        <w:jc w:val="both"/>
        <w:rPr>
          <w:sz w:val="16"/>
          <w:szCs w:val="16"/>
          <w:lang w:val="uk-UA"/>
        </w:rPr>
      </w:pPr>
    </w:p>
    <w:p w14:paraId="7664519A" w14:textId="77777777" w:rsidR="000525DD" w:rsidRPr="00BB1B5B" w:rsidRDefault="00770B79" w:rsidP="00524D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0525DD" w:rsidRPr="00BB1B5B">
        <w:rPr>
          <w:sz w:val="28"/>
          <w:szCs w:val="28"/>
          <w:lang w:val="uk-UA"/>
        </w:rPr>
        <w:t xml:space="preserve">радіоактивне забруднення території будівель і споруд навіть довгоживучими радіонуклідами має досить локальний характер, </w:t>
      </w:r>
      <w:r>
        <w:rPr>
          <w:sz w:val="28"/>
          <w:szCs w:val="28"/>
          <w:lang w:val="uk-UA"/>
        </w:rPr>
        <w:t>отже</w:t>
      </w:r>
      <w:r w:rsidR="000525DD" w:rsidRPr="00BB1B5B">
        <w:rPr>
          <w:sz w:val="28"/>
          <w:szCs w:val="28"/>
          <w:lang w:val="uk-UA"/>
        </w:rPr>
        <w:t xml:space="preserve"> за період тимчасового відселення виявиться можливим і виправданим здійснити ефективні роботи з дезактивації, після чого можна повернути населення на попереднє місце проживання;</w:t>
      </w:r>
    </w:p>
    <w:p w14:paraId="019B82CD" w14:textId="77777777" w:rsidR="00770B79" w:rsidRPr="00770B79" w:rsidRDefault="00770B79" w:rsidP="00524D45">
      <w:pPr>
        <w:ind w:firstLine="567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14:paraId="45F59DB5" w14:textId="77777777" w:rsidR="000525DD" w:rsidRDefault="00770B79" w:rsidP="00524D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0525DD" w:rsidRPr="00BB1B5B">
        <w:rPr>
          <w:sz w:val="28"/>
          <w:szCs w:val="28"/>
          <w:lang w:val="uk-UA"/>
        </w:rPr>
        <w:t>відсутня можливість проведення повноцінного радіаційного моніторингу, що своєю чергою не дозволяє зробити однозначний прогноз рад</w:t>
      </w:r>
      <w:r>
        <w:rPr>
          <w:sz w:val="28"/>
          <w:szCs w:val="28"/>
          <w:lang w:val="uk-UA"/>
        </w:rPr>
        <w:t>іонуклідного складу, а через те –</w:t>
      </w:r>
      <w:r w:rsidR="000525DD" w:rsidRPr="00BB1B5B">
        <w:rPr>
          <w:sz w:val="28"/>
          <w:szCs w:val="28"/>
          <w:lang w:val="uk-UA"/>
        </w:rPr>
        <w:t xml:space="preserve"> і темпів спаду рівнів радіоактивного забруднення місцевості; у цьому випадку, якщо є необхідні ресурси, а затрати на тимчасове відселення прийняті, то протягом періоду відселення слід здійснити уточнювальний радіаційний моніторинг, за даними якого можна скласти досить надійний прогноз розвитку радіаційних обставин, і це дозволить або уточнити строки повернення людей, або прийняти рішення про переведення цього контрзаходу в категорію «переселення».</w:t>
      </w:r>
    </w:p>
    <w:p w14:paraId="7AAFFB2C" w14:textId="77777777" w:rsidR="00770B79" w:rsidRPr="009472F5" w:rsidRDefault="00770B79" w:rsidP="00524D45">
      <w:pPr>
        <w:ind w:firstLine="567"/>
        <w:jc w:val="both"/>
        <w:rPr>
          <w:lang w:val="uk-UA"/>
        </w:rPr>
      </w:pPr>
    </w:p>
    <w:p w14:paraId="4C43CB28" w14:textId="0F2B911C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5. Вилучення, заміна чи обмеження вживання радіоактивно забруднених продуктів харчування, будучи важливим довгостроковим контрзаходом, одночасно потребує для своєї реалізації значних ресурсних і економічних витрат. Тому в інтервалі значень між нижньою межею виправданості і безумовною виправданістю (таблиця 3) необхідно кожний раз проводити процедуру оптимізації. Причому</w:t>
      </w:r>
      <w:r w:rsidR="009472F5">
        <w:rPr>
          <w:sz w:val="28"/>
          <w:szCs w:val="28"/>
          <w:lang w:val="uk-UA"/>
        </w:rPr>
        <w:t>,</w:t>
      </w:r>
      <w:r w:rsidRPr="00BB1B5B">
        <w:rPr>
          <w:sz w:val="28"/>
          <w:szCs w:val="28"/>
          <w:lang w:val="uk-UA"/>
        </w:rPr>
        <w:t xml:space="preserve"> </w:t>
      </w:r>
      <w:r w:rsidR="009472F5">
        <w:rPr>
          <w:sz w:val="28"/>
          <w:szCs w:val="28"/>
          <w:lang w:val="uk-UA"/>
        </w:rPr>
        <w:t>потрібно</w:t>
      </w:r>
      <w:r w:rsidRPr="00BB1B5B">
        <w:rPr>
          <w:sz w:val="28"/>
          <w:szCs w:val="28"/>
          <w:lang w:val="uk-UA"/>
        </w:rPr>
        <w:t xml:space="preserve"> мати на увазі, що можливості заміни важливих компонентів раціону (м’яса, молока, картоплі, хліба та ін.), звичайно, далеко не безмежні.</w:t>
      </w:r>
    </w:p>
    <w:p w14:paraId="5FD5A741" w14:textId="77777777" w:rsidR="00770B79" w:rsidRPr="009472F5" w:rsidRDefault="00770B79" w:rsidP="00524D45">
      <w:pPr>
        <w:ind w:firstLine="567"/>
        <w:jc w:val="both"/>
        <w:rPr>
          <w:lang w:val="uk-UA"/>
        </w:rPr>
      </w:pPr>
    </w:p>
    <w:p w14:paraId="227E4DC5" w14:textId="77777777" w:rsidR="000525DD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 xml:space="preserve">6. Заборона чи обмеження споживання продуктів харчування місцевого виробництва вводиться на ранній, середній і, частково, пізній фазах аварії. Проте застосування значень рівнів дії, вказаних у таблиці 3, потребує постійного застосування процедури визначення «користь-збиток», оскільки не виключені ситуації, коли за вкрай обмежених можливостей підвозу чистих продуктів харчування, заборона чи обмеження споживання місцевих </w:t>
      </w:r>
      <w:r w:rsidRPr="00BB1B5B">
        <w:rPr>
          <w:sz w:val="28"/>
          <w:szCs w:val="28"/>
          <w:lang w:val="uk-UA"/>
        </w:rPr>
        <w:lastRenderedPageBreak/>
        <w:t>продовольчих ресурсів може спричинити пряму загрозу голоду. При цьому наслідки для здоров’я людей через гострий дефіцит продуктів можуть виявитися набагато тяжчими, ніж ті, які пов’язані з радіаційним фактором.</w:t>
      </w:r>
    </w:p>
    <w:p w14:paraId="627A3A48" w14:textId="77777777" w:rsidR="00770B79" w:rsidRPr="009472F5" w:rsidRDefault="00770B79" w:rsidP="00524D45">
      <w:pPr>
        <w:ind w:firstLine="567"/>
        <w:jc w:val="both"/>
        <w:rPr>
          <w:lang w:val="uk-UA"/>
        </w:rPr>
      </w:pPr>
    </w:p>
    <w:p w14:paraId="061AD372" w14:textId="77777777" w:rsidR="000525DD" w:rsidRPr="00BB1B5B" w:rsidRDefault="000525DD" w:rsidP="00524D45">
      <w:pPr>
        <w:ind w:firstLine="567"/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7. Для таких довгострокових контрзаходів, як дезактивація територій, будівель та споруд, сільськогосподарські протирадіаційні заходи (залуження, вапнування ґрунтів, спеціальні норми внесення добрив, глибоке переорювання, застосування спеціальних</w:t>
      </w:r>
      <w:r w:rsidR="00770B79">
        <w:rPr>
          <w:sz w:val="28"/>
          <w:szCs w:val="28"/>
          <w:lang w:val="uk-UA"/>
        </w:rPr>
        <w:t xml:space="preserve"> хімічних речовин типу фероцину</w:t>
      </w:r>
      <w:r w:rsidRPr="00BB1B5B">
        <w:rPr>
          <w:sz w:val="28"/>
          <w:szCs w:val="28"/>
          <w:lang w:val="uk-UA"/>
        </w:rPr>
        <w:t xml:space="preserve"> і</w:t>
      </w:r>
      <w:r w:rsidR="00770B79">
        <w:rPr>
          <w:sz w:val="28"/>
          <w:szCs w:val="28"/>
          <w:lang w:val="uk-UA"/>
        </w:rPr>
        <w:t xml:space="preserve"> </w:t>
      </w:r>
      <w:r w:rsidRPr="00BB1B5B">
        <w:rPr>
          <w:sz w:val="28"/>
          <w:szCs w:val="28"/>
          <w:lang w:val="uk-UA"/>
        </w:rPr>
        <w:t>зміна структури землекористування чи технології вирощування м’ясо-молочної худоби і т.і.) не вводяться ні межі виправданості, ні безумовні рівні втручання. Рішення про проведення подібних контрзаходів приймаються кожного разу</w:t>
      </w:r>
      <w:r w:rsidR="00770B79">
        <w:rPr>
          <w:sz w:val="28"/>
          <w:szCs w:val="28"/>
          <w:lang w:val="uk-UA"/>
        </w:rPr>
        <w:t xml:space="preserve"> </w:t>
      </w:r>
      <w:r w:rsidRPr="00BB1B5B">
        <w:rPr>
          <w:sz w:val="28"/>
          <w:szCs w:val="28"/>
          <w:lang w:val="uk-UA"/>
        </w:rPr>
        <w:t>на основі процедури визначення «користь-збиток».</w:t>
      </w:r>
    </w:p>
    <w:p w14:paraId="4E2E767C" w14:textId="77777777" w:rsidR="000525DD" w:rsidRPr="00BB1B5B" w:rsidRDefault="000525DD" w:rsidP="00817042">
      <w:pPr>
        <w:jc w:val="both"/>
        <w:rPr>
          <w:sz w:val="28"/>
          <w:szCs w:val="28"/>
          <w:lang w:val="uk-UA"/>
        </w:rPr>
      </w:pPr>
    </w:p>
    <w:p w14:paraId="6784441E" w14:textId="7DAF0D83" w:rsidR="000525DD" w:rsidRDefault="009472F5" w:rsidP="00524D45">
      <w:pPr>
        <w:ind w:left="79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525DD" w:rsidRPr="00BB1B5B">
        <w:rPr>
          <w:sz w:val="28"/>
          <w:szCs w:val="28"/>
          <w:lang w:val="uk-UA"/>
        </w:rPr>
        <w:t>Таблиця 1</w:t>
      </w:r>
    </w:p>
    <w:p w14:paraId="58362144" w14:textId="77777777" w:rsidR="00770B79" w:rsidRPr="00BB1B5B" w:rsidRDefault="00770B79" w:rsidP="00524D45">
      <w:pPr>
        <w:ind w:left="7920"/>
        <w:jc w:val="both"/>
        <w:rPr>
          <w:sz w:val="28"/>
          <w:szCs w:val="28"/>
          <w:lang w:val="uk-UA"/>
        </w:rPr>
      </w:pPr>
    </w:p>
    <w:p w14:paraId="2FA71CE6" w14:textId="77777777" w:rsidR="00192CEF" w:rsidRDefault="000525DD" w:rsidP="00524D45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 xml:space="preserve">Нижні межі виправданості, </w:t>
      </w:r>
    </w:p>
    <w:p w14:paraId="390C6C50" w14:textId="77777777" w:rsidR="00192CEF" w:rsidRDefault="000525DD" w:rsidP="00524D45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 xml:space="preserve">безумовно виправдані рівні втручання і рівні дії </w:t>
      </w:r>
      <w:r w:rsidR="00770B79">
        <w:rPr>
          <w:sz w:val="28"/>
          <w:szCs w:val="28"/>
          <w:lang w:val="uk-UA"/>
        </w:rPr>
        <w:t xml:space="preserve">  </w:t>
      </w:r>
    </w:p>
    <w:p w14:paraId="2CA3FADA" w14:textId="77777777" w:rsidR="000525DD" w:rsidRPr="00BB1B5B" w:rsidRDefault="000525DD" w:rsidP="00524D45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для прийняття рішення про переселення</w:t>
      </w:r>
    </w:p>
    <w:p w14:paraId="29DB431B" w14:textId="77777777" w:rsidR="000525DD" w:rsidRPr="00BB1B5B" w:rsidRDefault="000525DD" w:rsidP="0081704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1"/>
        <w:gridCol w:w="1967"/>
        <w:gridCol w:w="1545"/>
      </w:tblGrid>
      <w:tr w:rsidR="000525DD" w:rsidRPr="00BB1B5B" w14:paraId="66EB33E4" w14:textId="77777777" w:rsidTr="00770B79">
        <w:tc>
          <w:tcPr>
            <w:tcW w:w="6451" w:type="dxa"/>
          </w:tcPr>
          <w:p w14:paraId="5BAA2857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Критерії для прийняття рішення</w:t>
            </w:r>
          </w:p>
        </w:tc>
        <w:tc>
          <w:tcPr>
            <w:tcW w:w="1967" w:type="dxa"/>
            <w:vAlign w:val="center"/>
          </w:tcPr>
          <w:p w14:paraId="29DA810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Нижні межі виправданості</w:t>
            </w:r>
          </w:p>
        </w:tc>
        <w:tc>
          <w:tcPr>
            <w:tcW w:w="1545" w:type="dxa"/>
            <w:vAlign w:val="center"/>
          </w:tcPr>
          <w:p w14:paraId="3E94A0D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Безумовно виправдані рівні</w:t>
            </w:r>
          </w:p>
        </w:tc>
      </w:tr>
      <w:tr w:rsidR="00770B79" w:rsidRPr="00BB1B5B" w14:paraId="5B065303" w14:textId="77777777" w:rsidTr="00770B79">
        <w:tc>
          <w:tcPr>
            <w:tcW w:w="6451" w:type="dxa"/>
          </w:tcPr>
          <w:p w14:paraId="68329F39" w14:textId="77777777" w:rsidR="00770B79" w:rsidRPr="00BB1B5B" w:rsidRDefault="00770B79" w:rsidP="00770B7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67" w:type="dxa"/>
            <w:vAlign w:val="center"/>
          </w:tcPr>
          <w:p w14:paraId="79132F09" w14:textId="77777777" w:rsidR="00770B79" w:rsidRPr="00BB1B5B" w:rsidRDefault="00770B79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45" w:type="dxa"/>
            <w:vAlign w:val="center"/>
          </w:tcPr>
          <w:p w14:paraId="70006A99" w14:textId="77777777" w:rsidR="00770B79" w:rsidRPr="00BB1B5B" w:rsidRDefault="00770B79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525DD" w:rsidRPr="00BB1B5B" w14:paraId="4F38B361" w14:textId="77777777" w:rsidTr="00770B79">
        <w:tc>
          <w:tcPr>
            <w:tcW w:w="6451" w:type="dxa"/>
          </w:tcPr>
          <w:p w14:paraId="1CAB756E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Доза, відвернута за період переселення, Зв</w:t>
            </w:r>
          </w:p>
        </w:tc>
        <w:tc>
          <w:tcPr>
            <w:tcW w:w="1967" w:type="dxa"/>
            <w:vAlign w:val="center"/>
          </w:tcPr>
          <w:p w14:paraId="78C4C08B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0,2</w:t>
            </w:r>
          </w:p>
        </w:tc>
        <w:tc>
          <w:tcPr>
            <w:tcW w:w="1545" w:type="dxa"/>
            <w:vAlign w:val="center"/>
          </w:tcPr>
          <w:p w14:paraId="2F1B8E8E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1</w:t>
            </w:r>
          </w:p>
        </w:tc>
      </w:tr>
      <w:tr w:rsidR="000525DD" w:rsidRPr="00BB1B5B" w14:paraId="15A17BC3" w14:textId="77777777" w:rsidTr="00770B79">
        <w:tc>
          <w:tcPr>
            <w:tcW w:w="6451" w:type="dxa"/>
          </w:tcPr>
          <w:p w14:paraId="4D466941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Доза, відвернута за перші 12 місяців після аварії, Зв</w:t>
            </w:r>
          </w:p>
        </w:tc>
        <w:tc>
          <w:tcPr>
            <w:tcW w:w="1967" w:type="dxa"/>
            <w:vAlign w:val="center"/>
          </w:tcPr>
          <w:p w14:paraId="2140B45D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0,05</w:t>
            </w:r>
          </w:p>
        </w:tc>
        <w:tc>
          <w:tcPr>
            <w:tcW w:w="1545" w:type="dxa"/>
            <w:vAlign w:val="center"/>
          </w:tcPr>
          <w:p w14:paraId="4A540DC8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0,5</w:t>
            </w:r>
          </w:p>
        </w:tc>
      </w:tr>
      <w:tr w:rsidR="000525DD" w:rsidRPr="00BB1B5B" w14:paraId="4FCC2D86" w14:textId="77777777" w:rsidTr="00770B79">
        <w:trPr>
          <w:trHeight w:val="1138"/>
        </w:trPr>
        <w:tc>
          <w:tcPr>
            <w:tcW w:w="6451" w:type="dxa"/>
            <w:vMerge w:val="restart"/>
          </w:tcPr>
          <w:p w14:paraId="6F15B3F7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Щільність радіоактивного забруднення територій довгоживучими радіонуклідами, мБк∙мˉ ²</w:t>
            </w:r>
          </w:p>
          <w:p w14:paraId="2EA5F98D" w14:textId="77777777" w:rsidR="000525DD" w:rsidRPr="00BB1B5B" w:rsidRDefault="00770B79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Сs</w:t>
            </w:r>
          </w:p>
          <w:p w14:paraId="30636293" w14:textId="77777777" w:rsidR="000525DD" w:rsidRPr="00BB1B5B" w:rsidRDefault="00770B79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Sr</w:t>
            </w:r>
          </w:p>
          <w:p w14:paraId="6FC97EC3" w14:textId="77777777" w:rsidR="000525DD" w:rsidRPr="00BB1B5B" w:rsidRDefault="00770B79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525DD" w:rsidRPr="00BB1B5B">
              <w:rPr>
                <w:sz w:val="28"/>
                <w:szCs w:val="28"/>
                <w:lang w:val="uk-UA"/>
              </w:rPr>
              <w:t xml:space="preserve"> а-випромінювачі (238,239,240 Рu, 241 Аm та ін.)</w:t>
            </w:r>
          </w:p>
        </w:tc>
        <w:tc>
          <w:tcPr>
            <w:tcW w:w="1967" w:type="dxa"/>
            <w:vAlign w:val="center"/>
          </w:tcPr>
          <w:p w14:paraId="2010E51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332877D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484AD3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1545" w:type="dxa"/>
            <w:vAlign w:val="center"/>
          </w:tcPr>
          <w:p w14:paraId="70F5D28C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19B2E36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948901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4000</w:t>
            </w:r>
          </w:p>
        </w:tc>
      </w:tr>
      <w:tr w:rsidR="000525DD" w:rsidRPr="00BB1B5B" w14:paraId="2A7D5D83" w14:textId="77777777" w:rsidTr="00770B79">
        <w:trPr>
          <w:trHeight w:val="559"/>
        </w:trPr>
        <w:tc>
          <w:tcPr>
            <w:tcW w:w="6451" w:type="dxa"/>
            <w:vMerge/>
          </w:tcPr>
          <w:p w14:paraId="66FB5AD9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  <w:vAlign w:val="center"/>
          </w:tcPr>
          <w:p w14:paraId="53D9299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545" w:type="dxa"/>
            <w:vAlign w:val="center"/>
          </w:tcPr>
          <w:p w14:paraId="4D1E9D1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400</w:t>
            </w:r>
          </w:p>
        </w:tc>
      </w:tr>
      <w:tr w:rsidR="000525DD" w:rsidRPr="00BB1B5B" w14:paraId="0CEB5C7B" w14:textId="77777777" w:rsidTr="00770B79">
        <w:trPr>
          <w:trHeight w:val="753"/>
        </w:trPr>
        <w:tc>
          <w:tcPr>
            <w:tcW w:w="6451" w:type="dxa"/>
            <w:vMerge/>
          </w:tcPr>
          <w:p w14:paraId="2679427C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  <w:vAlign w:val="center"/>
          </w:tcPr>
          <w:p w14:paraId="14F84500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545" w:type="dxa"/>
            <w:vAlign w:val="center"/>
          </w:tcPr>
          <w:p w14:paraId="137BBC16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4</w:t>
            </w:r>
          </w:p>
        </w:tc>
      </w:tr>
      <w:tr w:rsidR="000525DD" w:rsidRPr="00BB1B5B" w14:paraId="14DD4A07" w14:textId="77777777" w:rsidTr="00770B79">
        <w:trPr>
          <w:trHeight w:val="970"/>
        </w:trPr>
        <w:tc>
          <w:tcPr>
            <w:tcW w:w="6451" w:type="dxa"/>
            <w:vMerge w:val="restart"/>
          </w:tcPr>
          <w:p w14:paraId="3C478EE9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Потужність дози гамма-випромінення в повітрі на відкритій радіоактивно забрудненій місцевості, нГр∙сек.ˉ ¹</w:t>
            </w:r>
          </w:p>
          <w:p w14:paraId="20424B46" w14:textId="77777777" w:rsidR="000525DD" w:rsidRPr="00BB1B5B" w:rsidRDefault="00770B79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мононуклідне забруднення Сs</w:t>
            </w:r>
          </w:p>
          <w:p w14:paraId="2A4E92F9" w14:textId="77777777" w:rsidR="000525DD" w:rsidRPr="00BB1B5B" w:rsidRDefault="00770B79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забруднення свіжою осколочною сумішшю (на 150 день після аварійних викидів)</w:t>
            </w:r>
          </w:p>
        </w:tc>
        <w:tc>
          <w:tcPr>
            <w:tcW w:w="1967" w:type="dxa"/>
            <w:vAlign w:val="center"/>
          </w:tcPr>
          <w:p w14:paraId="23692C6E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0,3</w:t>
            </w:r>
          </w:p>
        </w:tc>
        <w:tc>
          <w:tcPr>
            <w:tcW w:w="1545" w:type="dxa"/>
            <w:vAlign w:val="center"/>
          </w:tcPr>
          <w:p w14:paraId="14DA46DD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</w:t>
            </w:r>
          </w:p>
        </w:tc>
      </w:tr>
      <w:tr w:rsidR="000525DD" w:rsidRPr="00BB1B5B" w14:paraId="5B901386" w14:textId="77777777" w:rsidTr="00770B79">
        <w:trPr>
          <w:trHeight w:val="970"/>
        </w:trPr>
        <w:tc>
          <w:tcPr>
            <w:tcW w:w="6451" w:type="dxa"/>
            <w:vMerge/>
          </w:tcPr>
          <w:p w14:paraId="086DBBCC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67" w:type="dxa"/>
            <w:vAlign w:val="center"/>
          </w:tcPr>
          <w:p w14:paraId="74CA3EF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45" w:type="dxa"/>
            <w:vAlign w:val="center"/>
          </w:tcPr>
          <w:p w14:paraId="0DDFBE31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50</w:t>
            </w:r>
          </w:p>
        </w:tc>
      </w:tr>
    </w:tbl>
    <w:p w14:paraId="4149DE96" w14:textId="77777777" w:rsidR="000525DD" w:rsidRDefault="000525DD" w:rsidP="00817042">
      <w:pPr>
        <w:jc w:val="both"/>
        <w:rPr>
          <w:sz w:val="28"/>
          <w:szCs w:val="28"/>
          <w:lang w:val="uk-UA"/>
        </w:rPr>
      </w:pPr>
    </w:p>
    <w:p w14:paraId="49ECF157" w14:textId="77777777" w:rsidR="00192CEF" w:rsidRDefault="00192CEF" w:rsidP="00817042">
      <w:pPr>
        <w:jc w:val="both"/>
        <w:rPr>
          <w:sz w:val="28"/>
          <w:szCs w:val="28"/>
          <w:lang w:val="uk-UA"/>
        </w:rPr>
      </w:pPr>
    </w:p>
    <w:p w14:paraId="21F37012" w14:textId="77777777" w:rsidR="00192CEF" w:rsidRDefault="00192CEF" w:rsidP="00817042">
      <w:pPr>
        <w:jc w:val="both"/>
        <w:rPr>
          <w:sz w:val="28"/>
          <w:szCs w:val="28"/>
          <w:lang w:val="uk-UA"/>
        </w:rPr>
      </w:pPr>
    </w:p>
    <w:p w14:paraId="131F37BC" w14:textId="77777777" w:rsidR="00192CEF" w:rsidRDefault="00192CEF" w:rsidP="00817042">
      <w:pPr>
        <w:jc w:val="both"/>
        <w:rPr>
          <w:sz w:val="28"/>
          <w:szCs w:val="28"/>
          <w:lang w:val="uk-UA"/>
        </w:rPr>
      </w:pPr>
    </w:p>
    <w:p w14:paraId="2FA9EEEE" w14:textId="77777777" w:rsidR="00192CEF" w:rsidRPr="00BB1B5B" w:rsidRDefault="00192CEF" w:rsidP="00817042">
      <w:pPr>
        <w:jc w:val="both"/>
        <w:rPr>
          <w:sz w:val="28"/>
          <w:szCs w:val="28"/>
          <w:lang w:val="uk-UA"/>
        </w:rPr>
      </w:pPr>
    </w:p>
    <w:p w14:paraId="13655775" w14:textId="77777777" w:rsidR="009472F5" w:rsidRDefault="000525DD" w:rsidP="00817042">
      <w:pPr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</w:p>
    <w:p w14:paraId="253FECD1" w14:textId="02227DBE" w:rsidR="000525DD" w:rsidRDefault="009472F5" w:rsidP="008170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</w:t>
      </w:r>
      <w:r w:rsidR="000525DD" w:rsidRPr="00BB1B5B">
        <w:rPr>
          <w:sz w:val="28"/>
          <w:szCs w:val="28"/>
          <w:lang w:val="uk-UA"/>
        </w:rPr>
        <w:t xml:space="preserve">Таблиця 2 </w:t>
      </w:r>
    </w:p>
    <w:p w14:paraId="206CC4ED" w14:textId="77777777" w:rsidR="00192CEF" w:rsidRPr="00192CEF" w:rsidRDefault="00192CEF" w:rsidP="00817042">
      <w:pPr>
        <w:jc w:val="both"/>
        <w:rPr>
          <w:sz w:val="16"/>
          <w:szCs w:val="16"/>
          <w:lang w:val="uk-UA"/>
        </w:rPr>
      </w:pPr>
    </w:p>
    <w:p w14:paraId="07CB7804" w14:textId="77777777" w:rsidR="000525DD" w:rsidRPr="00BB1B5B" w:rsidRDefault="000525DD" w:rsidP="00DA0BAC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Найнижчі межі виправданості і безумовно виправдані рівні втручання та дії для прийняття рішення про тимчасове відселення</w:t>
      </w:r>
    </w:p>
    <w:p w14:paraId="23C7E29C" w14:textId="77777777" w:rsidR="000525DD" w:rsidRPr="00BB1B5B" w:rsidRDefault="000525DD" w:rsidP="0081704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268"/>
        <w:gridCol w:w="2602"/>
      </w:tblGrid>
      <w:tr w:rsidR="000525DD" w:rsidRPr="00BB1B5B" w14:paraId="5AE7E290" w14:textId="77777777">
        <w:tc>
          <w:tcPr>
            <w:tcW w:w="4928" w:type="dxa"/>
          </w:tcPr>
          <w:p w14:paraId="464D3424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Критерії для прийняття рішення</w:t>
            </w:r>
          </w:p>
        </w:tc>
        <w:tc>
          <w:tcPr>
            <w:tcW w:w="2268" w:type="dxa"/>
            <w:vAlign w:val="center"/>
          </w:tcPr>
          <w:p w14:paraId="1AD62F22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Нижні межі виправданості</w:t>
            </w:r>
          </w:p>
        </w:tc>
        <w:tc>
          <w:tcPr>
            <w:tcW w:w="2602" w:type="dxa"/>
            <w:vAlign w:val="center"/>
          </w:tcPr>
          <w:p w14:paraId="25DAEDF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Безумовно виправдані рівні</w:t>
            </w:r>
          </w:p>
        </w:tc>
      </w:tr>
      <w:tr w:rsidR="00192CEF" w:rsidRPr="00BB1B5B" w14:paraId="0D68BA60" w14:textId="77777777">
        <w:tc>
          <w:tcPr>
            <w:tcW w:w="4928" w:type="dxa"/>
          </w:tcPr>
          <w:p w14:paraId="0CEB933F" w14:textId="77777777" w:rsidR="00192CEF" w:rsidRPr="00BB1B5B" w:rsidRDefault="00192CEF" w:rsidP="00192C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14:paraId="447C7EB3" w14:textId="77777777" w:rsidR="00192CEF" w:rsidRPr="00BB1B5B" w:rsidRDefault="00192CEF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02" w:type="dxa"/>
            <w:vAlign w:val="center"/>
          </w:tcPr>
          <w:p w14:paraId="7715764F" w14:textId="77777777" w:rsidR="00192CEF" w:rsidRPr="00BB1B5B" w:rsidRDefault="00192CEF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525DD" w:rsidRPr="00BB1B5B" w14:paraId="4FD65A39" w14:textId="77777777">
        <w:tc>
          <w:tcPr>
            <w:tcW w:w="4928" w:type="dxa"/>
          </w:tcPr>
          <w:p w14:paraId="05C2AA27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Сумарна відвернута доза за період тимчасового відселення*, Зв</w:t>
            </w:r>
          </w:p>
        </w:tc>
        <w:tc>
          <w:tcPr>
            <w:tcW w:w="2268" w:type="dxa"/>
            <w:vAlign w:val="center"/>
          </w:tcPr>
          <w:p w14:paraId="1806534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2602" w:type="dxa"/>
            <w:vAlign w:val="center"/>
          </w:tcPr>
          <w:p w14:paraId="45B51AEA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1</w:t>
            </w:r>
          </w:p>
        </w:tc>
      </w:tr>
      <w:tr w:rsidR="000525DD" w:rsidRPr="00BB1B5B" w14:paraId="0559B8B0" w14:textId="77777777">
        <w:tc>
          <w:tcPr>
            <w:tcW w:w="4928" w:type="dxa"/>
          </w:tcPr>
          <w:p w14:paraId="6D502707" w14:textId="77777777" w:rsidR="000525DD" w:rsidRPr="00BB1B5B" w:rsidRDefault="000525DD" w:rsidP="00F313E6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Середньомісячна доза протягом періоду тимчасового відселення*, мЗв∙місяцьˉ ¹</w:t>
            </w:r>
          </w:p>
        </w:tc>
        <w:tc>
          <w:tcPr>
            <w:tcW w:w="2268" w:type="dxa"/>
            <w:vAlign w:val="center"/>
          </w:tcPr>
          <w:p w14:paraId="36F62E15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02" w:type="dxa"/>
            <w:vAlign w:val="center"/>
          </w:tcPr>
          <w:p w14:paraId="1D529CE5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30</w:t>
            </w:r>
          </w:p>
        </w:tc>
      </w:tr>
      <w:tr w:rsidR="000525DD" w:rsidRPr="00BB1B5B" w14:paraId="4CBC5BDC" w14:textId="77777777">
        <w:tc>
          <w:tcPr>
            <w:tcW w:w="4928" w:type="dxa"/>
          </w:tcPr>
          <w:p w14:paraId="5E0EF3F4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Потужність дози гамма-випромінювання в повітрі на відкритій радіоактивно забрудненій місцевості, нГр∙сек.ˉ ¹</w:t>
            </w:r>
          </w:p>
        </w:tc>
        <w:tc>
          <w:tcPr>
            <w:tcW w:w="2268" w:type="dxa"/>
            <w:vAlign w:val="center"/>
          </w:tcPr>
          <w:p w14:paraId="7EB1C46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02" w:type="dxa"/>
            <w:vAlign w:val="center"/>
          </w:tcPr>
          <w:p w14:paraId="04C9CCA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30</w:t>
            </w:r>
          </w:p>
        </w:tc>
      </w:tr>
    </w:tbl>
    <w:p w14:paraId="711CEE2C" w14:textId="77777777" w:rsidR="000525DD" w:rsidRPr="00BB1B5B" w:rsidRDefault="000525DD" w:rsidP="00817042">
      <w:pPr>
        <w:jc w:val="both"/>
        <w:rPr>
          <w:sz w:val="28"/>
          <w:szCs w:val="28"/>
          <w:lang w:val="uk-UA"/>
        </w:rPr>
      </w:pPr>
    </w:p>
    <w:p w14:paraId="7DE9F35C" w14:textId="5DF0D26B" w:rsidR="000525DD" w:rsidRDefault="000525DD" w:rsidP="00817042">
      <w:pPr>
        <w:jc w:val="both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Pr="00BB1B5B">
        <w:rPr>
          <w:sz w:val="28"/>
          <w:szCs w:val="28"/>
          <w:lang w:val="uk-UA"/>
        </w:rPr>
        <w:tab/>
      </w:r>
      <w:r w:rsidR="009472F5">
        <w:rPr>
          <w:sz w:val="28"/>
          <w:szCs w:val="28"/>
          <w:lang w:val="uk-UA"/>
        </w:rPr>
        <w:t xml:space="preserve">      </w:t>
      </w:r>
      <w:r w:rsidRPr="00BB1B5B">
        <w:rPr>
          <w:sz w:val="28"/>
          <w:szCs w:val="28"/>
          <w:lang w:val="uk-UA"/>
        </w:rPr>
        <w:t>Таблиця 3</w:t>
      </w:r>
    </w:p>
    <w:p w14:paraId="132A077C" w14:textId="77777777" w:rsidR="00192CEF" w:rsidRPr="00192CEF" w:rsidRDefault="00192CEF" w:rsidP="00817042">
      <w:pPr>
        <w:jc w:val="both"/>
        <w:rPr>
          <w:sz w:val="16"/>
          <w:szCs w:val="16"/>
          <w:lang w:val="uk-UA"/>
        </w:rPr>
      </w:pPr>
    </w:p>
    <w:p w14:paraId="4E6DEBA6" w14:textId="77777777" w:rsidR="00192CEF" w:rsidRDefault="000525DD" w:rsidP="00DA0BAC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 xml:space="preserve">Найнижчі межі виправданості і безумовно виправдані рівні втручання та дії </w:t>
      </w:r>
    </w:p>
    <w:p w14:paraId="69F623B5" w14:textId="77777777" w:rsidR="000525DD" w:rsidRPr="00BB1B5B" w:rsidRDefault="000525DD" w:rsidP="00DA0BAC">
      <w:pPr>
        <w:jc w:val="center"/>
        <w:rPr>
          <w:sz w:val="28"/>
          <w:szCs w:val="28"/>
          <w:lang w:val="uk-UA"/>
        </w:rPr>
      </w:pPr>
      <w:r w:rsidRPr="00BB1B5B">
        <w:rPr>
          <w:sz w:val="28"/>
          <w:szCs w:val="28"/>
          <w:lang w:val="uk-UA"/>
        </w:rPr>
        <w:t>для прийняття рішення про вилучення, заміну і обмеження* вживання радіоактивно забруднених продуктів харчування</w:t>
      </w:r>
    </w:p>
    <w:p w14:paraId="22C4BFE1" w14:textId="77777777" w:rsidR="000525DD" w:rsidRPr="00BB1B5B" w:rsidRDefault="000525DD" w:rsidP="0081704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409"/>
        <w:gridCol w:w="2319"/>
      </w:tblGrid>
      <w:tr w:rsidR="000525DD" w:rsidRPr="00BB1B5B" w14:paraId="0D242204" w14:textId="77777777">
        <w:tc>
          <w:tcPr>
            <w:tcW w:w="5070" w:type="dxa"/>
          </w:tcPr>
          <w:p w14:paraId="7101EE81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Критерії для прийняття рішення</w:t>
            </w:r>
          </w:p>
        </w:tc>
        <w:tc>
          <w:tcPr>
            <w:tcW w:w="2409" w:type="dxa"/>
            <w:vAlign w:val="center"/>
          </w:tcPr>
          <w:p w14:paraId="7227CDE9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Нижні межі виправданості</w:t>
            </w:r>
          </w:p>
        </w:tc>
        <w:tc>
          <w:tcPr>
            <w:tcW w:w="2319" w:type="dxa"/>
            <w:vAlign w:val="center"/>
          </w:tcPr>
          <w:p w14:paraId="7C135801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Безумовно виправдані рівні</w:t>
            </w:r>
          </w:p>
        </w:tc>
      </w:tr>
      <w:tr w:rsidR="00192CEF" w:rsidRPr="00BB1B5B" w14:paraId="49F09D41" w14:textId="77777777">
        <w:tc>
          <w:tcPr>
            <w:tcW w:w="5070" w:type="dxa"/>
          </w:tcPr>
          <w:p w14:paraId="3E39AC79" w14:textId="77777777" w:rsidR="00192CEF" w:rsidRPr="00BB1B5B" w:rsidRDefault="00192CEF" w:rsidP="00192C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vAlign w:val="center"/>
          </w:tcPr>
          <w:p w14:paraId="459A8090" w14:textId="77777777" w:rsidR="00192CEF" w:rsidRPr="00BB1B5B" w:rsidRDefault="00192CEF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19" w:type="dxa"/>
            <w:vAlign w:val="center"/>
          </w:tcPr>
          <w:p w14:paraId="5342EFA6" w14:textId="77777777" w:rsidR="00192CEF" w:rsidRPr="00BB1B5B" w:rsidRDefault="00192CEF" w:rsidP="003110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525DD" w:rsidRPr="00BB1B5B" w14:paraId="60EF6EA8" w14:textId="77777777">
        <w:tc>
          <w:tcPr>
            <w:tcW w:w="5070" w:type="dxa"/>
            <w:vMerge w:val="restart"/>
          </w:tcPr>
          <w:p w14:paraId="2ECD9A4F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Відвернута доза внутрішнього опромінення за рахунок вживання радіоактивно забруднених продуктів харчування, мЗв</w:t>
            </w:r>
          </w:p>
          <w:p w14:paraId="20A59E6B" w14:textId="77777777" w:rsidR="000525DD" w:rsidRPr="00BB1B5B" w:rsidRDefault="00192CEF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за перший післяаварійний рік</w:t>
            </w:r>
          </w:p>
          <w:p w14:paraId="0CBB40EC" w14:textId="77777777" w:rsidR="000525DD" w:rsidRPr="00BB1B5B" w:rsidRDefault="00192CEF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за другий і наступні роки після аварії</w:t>
            </w:r>
          </w:p>
        </w:tc>
        <w:tc>
          <w:tcPr>
            <w:tcW w:w="2409" w:type="dxa"/>
            <w:vAlign w:val="center"/>
          </w:tcPr>
          <w:p w14:paraId="06B64D3E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5</w:t>
            </w:r>
          </w:p>
          <w:p w14:paraId="1ABDFD25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5A54212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FE466E9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84CBF3A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19" w:type="dxa"/>
            <w:vAlign w:val="center"/>
          </w:tcPr>
          <w:p w14:paraId="6350F1F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30</w:t>
            </w:r>
          </w:p>
          <w:p w14:paraId="335F0E55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0B5B3E9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5C3D41A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4ACB6D9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30</w:t>
            </w:r>
          </w:p>
        </w:tc>
      </w:tr>
      <w:tr w:rsidR="000525DD" w:rsidRPr="00BB1B5B" w14:paraId="5304F91E" w14:textId="77777777">
        <w:tc>
          <w:tcPr>
            <w:tcW w:w="5070" w:type="dxa"/>
            <w:vMerge/>
          </w:tcPr>
          <w:p w14:paraId="5C751C57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Align w:val="center"/>
          </w:tcPr>
          <w:p w14:paraId="13CD125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19" w:type="dxa"/>
            <w:vAlign w:val="center"/>
          </w:tcPr>
          <w:p w14:paraId="3D46750B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5</w:t>
            </w:r>
          </w:p>
        </w:tc>
      </w:tr>
      <w:tr w:rsidR="000525DD" w:rsidRPr="00BB1B5B" w14:paraId="5E2BF559" w14:textId="77777777">
        <w:tc>
          <w:tcPr>
            <w:tcW w:w="5070" w:type="dxa"/>
            <w:vMerge w:val="restart"/>
          </w:tcPr>
          <w:p w14:paraId="00D5D0BD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Радіоактивне забруднення молока, мБк.л.ˉ ¹</w:t>
            </w:r>
          </w:p>
          <w:p w14:paraId="25B59829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9B2AE5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 xml:space="preserve">       для дорослих</w:t>
            </w:r>
          </w:p>
          <w:p w14:paraId="55C97BE7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 xml:space="preserve">       для дітей</w:t>
            </w:r>
          </w:p>
        </w:tc>
        <w:tc>
          <w:tcPr>
            <w:tcW w:w="2409" w:type="dxa"/>
            <w:vAlign w:val="center"/>
          </w:tcPr>
          <w:p w14:paraId="2DA333D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909BB8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56B9810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BB560DF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0,4</w:t>
            </w:r>
          </w:p>
        </w:tc>
        <w:tc>
          <w:tcPr>
            <w:tcW w:w="2319" w:type="dxa"/>
            <w:vAlign w:val="center"/>
          </w:tcPr>
          <w:p w14:paraId="78523AA7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5A10B63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E3E8C0A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08F2285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1</w:t>
            </w:r>
          </w:p>
        </w:tc>
      </w:tr>
      <w:tr w:rsidR="000525DD" w:rsidRPr="00BB1B5B" w14:paraId="616332B1" w14:textId="77777777">
        <w:tc>
          <w:tcPr>
            <w:tcW w:w="5070" w:type="dxa"/>
            <w:vMerge/>
          </w:tcPr>
          <w:p w14:paraId="5770378A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Align w:val="center"/>
          </w:tcPr>
          <w:p w14:paraId="070F8BAB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2319" w:type="dxa"/>
            <w:vAlign w:val="center"/>
          </w:tcPr>
          <w:p w14:paraId="7A6DCD20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0,2</w:t>
            </w:r>
          </w:p>
        </w:tc>
      </w:tr>
      <w:tr w:rsidR="000525DD" w:rsidRPr="00BB1B5B" w14:paraId="36D184AF" w14:textId="77777777">
        <w:tc>
          <w:tcPr>
            <w:tcW w:w="5070" w:type="dxa"/>
          </w:tcPr>
          <w:p w14:paraId="359CAA0F" w14:textId="77777777" w:rsidR="000525DD" w:rsidRPr="00BB1B5B" w:rsidRDefault="00192CEF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134 ,137 Сs</w:t>
            </w:r>
          </w:p>
        </w:tc>
        <w:tc>
          <w:tcPr>
            <w:tcW w:w="2409" w:type="dxa"/>
            <w:vAlign w:val="center"/>
          </w:tcPr>
          <w:p w14:paraId="5634E1A8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0,1</w:t>
            </w:r>
          </w:p>
        </w:tc>
        <w:tc>
          <w:tcPr>
            <w:tcW w:w="2319" w:type="dxa"/>
            <w:vAlign w:val="center"/>
          </w:tcPr>
          <w:p w14:paraId="45C1CC90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0,4</w:t>
            </w:r>
          </w:p>
        </w:tc>
      </w:tr>
      <w:tr w:rsidR="000525DD" w:rsidRPr="00BB1B5B" w14:paraId="0915DF15" w14:textId="77777777">
        <w:tc>
          <w:tcPr>
            <w:tcW w:w="5070" w:type="dxa"/>
            <w:vMerge w:val="restart"/>
          </w:tcPr>
          <w:p w14:paraId="1EDBF548" w14:textId="77777777" w:rsidR="000525DD" w:rsidRPr="00BB1B5B" w:rsidRDefault="00192CEF" w:rsidP="003110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0525DD" w:rsidRPr="00BB1B5B">
              <w:rPr>
                <w:sz w:val="28"/>
                <w:szCs w:val="28"/>
                <w:lang w:val="uk-UA"/>
              </w:rPr>
              <w:t>90 Sr</w:t>
            </w:r>
          </w:p>
          <w:p w14:paraId="775D9E79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 xml:space="preserve">       для дорослих</w:t>
            </w:r>
          </w:p>
          <w:p w14:paraId="5D95878F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 xml:space="preserve">       для дітей</w:t>
            </w:r>
          </w:p>
        </w:tc>
        <w:tc>
          <w:tcPr>
            <w:tcW w:w="2409" w:type="dxa"/>
            <w:vAlign w:val="center"/>
          </w:tcPr>
          <w:p w14:paraId="4C7E5FAD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7294AD0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0,02</w:t>
            </w:r>
          </w:p>
        </w:tc>
        <w:tc>
          <w:tcPr>
            <w:tcW w:w="2319" w:type="dxa"/>
            <w:vAlign w:val="center"/>
          </w:tcPr>
          <w:p w14:paraId="7627D4AB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1168C6B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0,2</w:t>
            </w:r>
          </w:p>
        </w:tc>
      </w:tr>
      <w:tr w:rsidR="000525DD" w:rsidRPr="00BB1B5B" w14:paraId="3F47FAF8" w14:textId="77777777">
        <w:tc>
          <w:tcPr>
            <w:tcW w:w="5070" w:type="dxa"/>
            <w:vMerge/>
          </w:tcPr>
          <w:p w14:paraId="271BE5FF" w14:textId="77777777" w:rsidR="000525DD" w:rsidRPr="00BB1B5B" w:rsidRDefault="000525DD" w:rsidP="003110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Align w:val="center"/>
          </w:tcPr>
          <w:p w14:paraId="74533868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0,005</w:t>
            </w:r>
          </w:p>
        </w:tc>
        <w:tc>
          <w:tcPr>
            <w:tcW w:w="2319" w:type="dxa"/>
            <w:vAlign w:val="center"/>
          </w:tcPr>
          <w:p w14:paraId="37A7E6A4" w14:textId="77777777" w:rsidR="000525DD" w:rsidRPr="00BB1B5B" w:rsidRDefault="000525DD" w:rsidP="00311014">
            <w:pPr>
              <w:jc w:val="center"/>
              <w:rPr>
                <w:sz w:val="28"/>
                <w:szCs w:val="28"/>
                <w:lang w:val="uk-UA"/>
              </w:rPr>
            </w:pPr>
            <w:r w:rsidRPr="00BB1B5B">
              <w:rPr>
                <w:sz w:val="28"/>
                <w:szCs w:val="28"/>
                <w:lang w:val="uk-UA"/>
              </w:rPr>
              <w:t>0,05</w:t>
            </w:r>
          </w:p>
        </w:tc>
      </w:tr>
    </w:tbl>
    <w:p w14:paraId="4773CA52" w14:textId="77777777" w:rsidR="000525DD" w:rsidRPr="00BB1B5B" w:rsidRDefault="000525DD" w:rsidP="007074DA">
      <w:pPr>
        <w:jc w:val="both"/>
        <w:rPr>
          <w:sz w:val="28"/>
          <w:szCs w:val="28"/>
          <w:lang w:val="uk-UA"/>
        </w:rPr>
      </w:pPr>
    </w:p>
    <w:p w14:paraId="2B1C22D1" w14:textId="306360FC" w:rsidR="009472F5" w:rsidRDefault="009472F5" w:rsidP="009472F5">
      <w:pPr>
        <w:rPr>
          <w:rStyle w:val="0pt"/>
          <w:sz w:val="28"/>
          <w:szCs w:val="28"/>
        </w:rPr>
      </w:pPr>
    </w:p>
    <w:p w14:paraId="4025778B" w14:textId="447180D6" w:rsidR="000525DD" w:rsidRPr="002E3800" w:rsidRDefault="009472F5" w:rsidP="001132F2">
      <w:pPr>
        <w:jc w:val="center"/>
        <w:rPr>
          <w:rStyle w:val="0pt"/>
          <w:sz w:val="28"/>
          <w:szCs w:val="28"/>
        </w:rPr>
      </w:pPr>
      <w:r>
        <w:rPr>
          <w:rStyle w:val="0pt"/>
          <w:sz w:val="28"/>
          <w:szCs w:val="28"/>
        </w:rPr>
        <w:t>______________</w:t>
      </w:r>
      <w:r w:rsidR="000525DD" w:rsidRPr="00BB1B5B">
        <w:rPr>
          <w:rStyle w:val="0pt"/>
          <w:sz w:val="28"/>
          <w:szCs w:val="28"/>
        </w:rPr>
        <w:t>____________________________________________</w:t>
      </w:r>
    </w:p>
    <w:p w14:paraId="7867DB78" w14:textId="77777777" w:rsidR="000525DD" w:rsidRPr="002E3800" w:rsidRDefault="000525DD" w:rsidP="00AA43A2">
      <w:pPr>
        <w:rPr>
          <w:sz w:val="28"/>
          <w:szCs w:val="28"/>
          <w:lang w:val="uk-UA"/>
        </w:rPr>
      </w:pPr>
    </w:p>
    <w:sectPr w:rsidR="000525DD" w:rsidRPr="002E3800" w:rsidSect="00652C87">
      <w:headerReference w:type="default" r:id="rId7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5AB0" w14:textId="77777777" w:rsidR="00DD2D1A" w:rsidRDefault="00DD2D1A">
      <w:r>
        <w:separator/>
      </w:r>
    </w:p>
  </w:endnote>
  <w:endnote w:type="continuationSeparator" w:id="0">
    <w:p w14:paraId="40D2E0A7" w14:textId="77777777" w:rsidR="00DD2D1A" w:rsidRDefault="00DD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832F" w14:textId="77777777" w:rsidR="00DD2D1A" w:rsidRDefault="00DD2D1A">
      <w:r>
        <w:separator/>
      </w:r>
    </w:p>
  </w:footnote>
  <w:footnote w:type="continuationSeparator" w:id="0">
    <w:p w14:paraId="6DDD1897" w14:textId="77777777" w:rsidR="00DD2D1A" w:rsidRDefault="00DD2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3CA4" w14:textId="77777777" w:rsidR="000525DD" w:rsidRDefault="000525DD" w:rsidP="0059495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92CEF">
      <w:rPr>
        <w:rStyle w:val="aa"/>
        <w:noProof/>
      </w:rPr>
      <w:t>3</w:t>
    </w:r>
    <w:r>
      <w:rPr>
        <w:rStyle w:val="aa"/>
      </w:rPr>
      <w:fldChar w:fldCharType="end"/>
    </w:r>
  </w:p>
  <w:p w14:paraId="2B1034C6" w14:textId="77777777" w:rsidR="000525DD" w:rsidRDefault="000525DD" w:rsidP="005978D0">
    <w:pPr>
      <w:pStyle w:val="a8"/>
      <w:ind w:left="7088"/>
    </w:pPr>
    <w:r>
      <w:rPr>
        <w:lang w:val="uk-UA"/>
      </w:rPr>
      <w:t>Продовження додатка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hint="default"/>
      </w:rPr>
    </w:lvl>
  </w:abstractNum>
  <w:num w:numId="1" w16cid:durableId="1553807809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 w16cid:durableId="2079358345">
    <w:abstractNumId w:val="4"/>
  </w:num>
  <w:num w:numId="3" w16cid:durableId="446892015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4" w16cid:durableId="394939619">
    <w:abstractNumId w:val="2"/>
  </w:num>
  <w:num w:numId="5" w16cid:durableId="572012579">
    <w:abstractNumId w:val="0"/>
    <w:lvlOverride w:ilvl="0">
      <w:lvl w:ilvl="0">
        <w:numFmt w:val="bullet"/>
        <w:lvlText w:val="-"/>
        <w:legacy w:legacy="1" w:legacySpace="0" w:legacyIndent="118"/>
        <w:lvlJc w:val="left"/>
        <w:rPr>
          <w:rFonts w:ascii="Times New Roman" w:hAnsi="Times New Roman" w:hint="default"/>
        </w:rPr>
      </w:lvl>
    </w:lvlOverride>
  </w:num>
  <w:num w:numId="6" w16cid:durableId="1624075258">
    <w:abstractNumId w:val="0"/>
    <w:lvlOverride w:ilvl="0">
      <w:lvl w:ilvl="0">
        <w:numFmt w:val="bullet"/>
        <w:lvlText w:val="-"/>
        <w:legacy w:legacy="1" w:legacySpace="0" w:legacyIndent="141"/>
        <w:lvlJc w:val="left"/>
        <w:rPr>
          <w:rFonts w:ascii="Times New Roman" w:hAnsi="Times New Roman" w:hint="default"/>
        </w:rPr>
      </w:lvl>
    </w:lvlOverride>
  </w:num>
  <w:num w:numId="7" w16cid:durableId="1918246471">
    <w:abstractNumId w:val="0"/>
    <w:lvlOverride w:ilvl="0">
      <w:lvl w:ilvl="0">
        <w:numFmt w:val="bullet"/>
        <w:lvlText w:val="-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8" w16cid:durableId="709958297">
    <w:abstractNumId w:val="0"/>
    <w:lvlOverride w:ilvl="0">
      <w:lvl w:ilvl="0">
        <w:numFmt w:val="bullet"/>
        <w:lvlText w:val="-"/>
        <w:legacy w:legacy="1" w:legacySpace="0" w:legacyIndent="126"/>
        <w:lvlJc w:val="left"/>
        <w:rPr>
          <w:rFonts w:ascii="Times New Roman" w:hAnsi="Times New Roman" w:hint="default"/>
        </w:rPr>
      </w:lvl>
    </w:lvlOverride>
  </w:num>
  <w:num w:numId="9" w16cid:durableId="114181168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0" w16cid:durableId="683291231">
    <w:abstractNumId w:val="0"/>
    <w:lvlOverride w:ilvl="0">
      <w:lvl w:ilvl="0">
        <w:numFmt w:val="bullet"/>
        <w:lvlText w:val="-"/>
        <w:legacy w:legacy="1" w:legacySpace="0" w:legacyIndent="119"/>
        <w:lvlJc w:val="left"/>
        <w:rPr>
          <w:rFonts w:ascii="Times New Roman" w:hAnsi="Times New Roman" w:hint="default"/>
        </w:rPr>
      </w:lvl>
    </w:lvlOverride>
  </w:num>
  <w:num w:numId="11" w16cid:durableId="1280260438">
    <w:abstractNumId w:val="0"/>
    <w:lvlOverride w:ilvl="0">
      <w:lvl w:ilvl="0">
        <w:numFmt w:val="bullet"/>
        <w:lvlText w:val="-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2" w16cid:durableId="160194515">
    <w:abstractNumId w:val="1"/>
  </w:num>
  <w:num w:numId="13" w16cid:durableId="581446800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4" w16cid:durableId="110130938">
    <w:abstractNumId w:val="5"/>
  </w:num>
  <w:num w:numId="15" w16cid:durableId="1936160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80A"/>
    <w:rsid w:val="000036BA"/>
    <w:rsid w:val="00010696"/>
    <w:rsid w:val="000118CE"/>
    <w:rsid w:val="00017B4D"/>
    <w:rsid w:val="0002759D"/>
    <w:rsid w:val="000346D5"/>
    <w:rsid w:val="00040162"/>
    <w:rsid w:val="00041B4C"/>
    <w:rsid w:val="000525DD"/>
    <w:rsid w:val="000551B0"/>
    <w:rsid w:val="00066434"/>
    <w:rsid w:val="00067E2B"/>
    <w:rsid w:val="00087133"/>
    <w:rsid w:val="00093FD6"/>
    <w:rsid w:val="000A49A2"/>
    <w:rsid w:val="000C19F0"/>
    <w:rsid w:val="000D0D2B"/>
    <w:rsid w:val="000D4634"/>
    <w:rsid w:val="000D4C81"/>
    <w:rsid w:val="00100671"/>
    <w:rsid w:val="001015A9"/>
    <w:rsid w:val="001132F2"/>
    <w:rsid w:val="00114258"/>
    <w:rsid w:val="0012238C"/>
    <w:rsid w:val="00130422"/>
    <w:rsid w:val="00140A7F"/>
    <w:rsid w:val="001565B8"/>
    <w:rsid w:val="001603CF"/>
    <w:rsid w:val="0017088B"/>
    <w:rsid w:val="001903B3"/>
    <w:rsid w:val="00190D2E"/>
    <w:rsid w:val="00192CEF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32065"/>
    <w:rsid w:val="00251D8F"/>
    <w:rsid w:val="002556A2"/>
    <w:rsid w:val="00262287"/>
    <w:rsid w:val="00266C2F"/>
    <w:rsid w:val="00280A1F"/>
    <w:rsid w:val="0029491D"/>
    <w:rsid w:val="002A027A"/>
    <w:rsid w:val="002A0389"/>
    <w:rsid w:val="002B7D2E"/>
    <w:rsid w:val="002D29AF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9759E"/>
    <w:rsid w:val="003A2638"/>
    <w:rsid w:val="003C09C4"/>
    <w:rsid w:val="003C521C"/>
    <w:rsid w:val="003D1DE8"/>
    <w:rsid w:val="003D581E"/>
    <w:rsid w:val="003E3845"/>
    <w:rsid w:val="003F240F"/>
    <w:rsid w:val="00403A4A"/>
    <w:rsid w:val="004062D6"/>
    <w:rsid w:val="00410A88"/>
    <w:rsid w:val="00412965"/>
    <w:rsid w:val="0042452F"/>
    <w:rsid w:val="0044144A"/>
    <w:rsid w:val="00443E87"/>
    <w:rsid w:val="00457F42"/>
    <w:rsid w:val="00470F7B"/>
    <w:rsid w:val="00473C99"/>
    <w:rsid w:val="00477A55"/>
    <w:rsid w:val="00477C83"/>
    <w:rsid w:val="00481F46"/>
    <w:rsid w:val="004949F5"/>
    <w:rsid w:val="004A60A0"/>
    <w:rsid w:val="004B73AC"/>
    <w:rsid w:val="004C68E2"/>
    <w:rsid w:val="00500B77"/>
    <w:rsid w:val="00502AFF"/>
    <w:rsid w:val="00505EEB"/>
    <w:rsid w:val="00524D45"/>
    <w:rsid w:val="00584E64"/>
    <w:rsid w:val="00585317"/>
    <w:rsid w:val="00590B28"/>
    <w:rsid w:val="00591C68"/>
    <w:rsid w:val="0059495D"/>
    <w:rsid w:val="005978D0"/>
    <w:rsid w:val="005B49CC"/>
    <w:rsid w:val="005D0755"/>
    <w:rsid w:val="005D125B"/>
    <w:rsid w:val="005D21E0"/>
    <w:rsid w:val="005D7AC8"/>
    <w:rsid w:val="005E3BD2"/>
    <w:rsid w:val="005E5294"/>
    <w:rsid w:val="00600975"/>
    <w:rsid w:val="00614E4C"/>
    <w:rsid w:val="00624F93"/>
    <w:rsid w:val="00644FFA"/>
    <w:rsid w:val="00647B24"/>
    <w:rsid w:val="006516EF"/>
    <w:rsid w:val="00652C87"/>
    <w:rsid w:val="00657C36"/>
    <w:rsid w:val="00665F67"/>
    <w:rsid w:val="00667700"/>
    <w:rsid w:val="0067708A"/>
    <w:rsid w:val="00694C2F"/>
    <w:rsid w:val="00695E82"/>
    <w:rsid w:val="00697AD9"/>
    <w:rsid w:val="006A4DCE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4128F"/>
    <w:rsid w:val="00742F3F"/>
    <w:rsid w:val="0074379E"/>
    <w:rsid w:val="00747A12"/>
    <w:rsid w:val="00750FFE"/>
    <w:rsid w:val="00761DBB"/>
    <w:rsid w:val="00770B79"/>
    <w:rsid w:val="007776BD"/>
    <w:rsid w:val="007958CD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7042"/>
    <w:rsid w:val="00822524"/>
    <w:rsid w:val="008337CE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00F57"/>
    <w:rsid w:val="00930DEF"/>
    <w:rsid w:val="00937F01"/>
    <w:rsid w:val="0094495F"/>
    <w:rsid w:val="009472F5"/>
    <w:rsid w:val="00951EE1"/>
    <w:rsid w:val="009557AB"/>
    <w:rsid w:val="009618FB"/>
    <w:rsid w:val="00977A10"/>
    <w:rsid w:val="009824C3"/>
    <w:rsid w:val="009B6CC9"/>
    <w:rsid w:val="009C74F5"/>
    <w:rsid w:val="009D3F67"/>
    <w:rsid w:val="009E53F4"/>
    <w:rsid w:val="009F3D9E"/>
    <w:rsid w:val="00A16C31"/>
    <w:rsid w:val="00A24CAE"/>
    <w:rsid w:val="00A270A3"/>
    <w:rsid w:val="00A32D0C"/>
    <w:rsid w:val="00A606C8"/>
    <w:rsid w:val="00A65C0A"/>
    <w:rsid w:val="00A84112"/>
    <w:rsid w:val="00A87998"/>
    <w:rsid w:val="00A902B7"/>
    <w:rsid w:val="00AA1F8F"/>
    <w:rsid w:val="00AA43A2"/>
    <w:rsid w:val="00AB0C40"/>
    <w:rsid w:val="00AB32A9"/>
    <w:rsid w:val="00AC623F"/>
    <w:rsid w:val="00B24849"/>
    <w:rsid w:val="00B27C1E"/>
    <w:rsid w:val="00B47DB5"/>
    <w:rsid w:val="00B52EBD"/>
    <w:rsid w:val="00B61E55"/>
    <w:rsid w:val="00B625C9"/>
    <w:rsid w:val="00B66F9E"/>
    <w:rsid w:val="00B7047F"/>
    <w:rsid w:val="00B73EAD"/>
    <w:rsid w:val="00B75B5B"/>
    <w:rsid w:val="00B831AF"/>
    <w:rsid w:val="00B930CA"/>
    <w:rsid w:val="00BA709A"/>
    <w:rsid w:val="00BB1430"/>
    <w:rsid w:val="00BB1B5B"/>
    <w:rsid w:val="00BB1C25"/>
    <w:rsid w:val="00BB2E2B"/>
    <w:rsid w:val="00BB365F"/>
    <w:rsid w:val="00BB7500"/>
    <w:rsid w:val="00BD360E"/>
    <w:rsid w:val="00BD3C76"/>
    <w:rsid w:val="00BE12B8"/>
    <w:rsid w:val="00C07922"/>
    <w:rsid w:val="00C142AA"/>
    <w:rsid w:val="00C32663"/>
    <w:rsid w:val="00C426FF"/>
    <w:rsid w:val="00C502FC"/>
    <w:rsid w:val="00C6567D"/>
    <w:rsid w:val="00C8033F"/>
    <w:rsid w:val="00C90E4C"/>
    <w:rsid w:val="00CA146D"/>
    <w:rsid w:val="00CB0B69"/>
    <w:rsid w:val="00CD0E0B"/>
    <w:rsid w:val="00CE0F50"/>
    <w:rsid w:val="00D05754"/>
    <w:rsid w:val="00D12CFD"/>
    <w:rsid w:val="00D3404D"/>
    <w:rsid w:val="00D66C29"/>
    <w:rsid w:val="00D72DA7"/>
    <w:rsid w:val="00D81242"/>
    <w:rsid w:val="00D87061"/>
    <w:rsid w:val="00D97948"/>
    <w:rsid w:val="00DA0BAC"/>
    <w:rsid w:val="00DC0BEA"/>
    <w:rsid w:val="00DC1EB4"/>
    <w:rsid w:val="00DC3B3F"/>
    <w:rsid w:val="00DD2D1A"/>
    <w:rsid w:val="00DD337B"/>
    <w:rsid w:val="00DE2277"/>
    <w:rsid w:val="00E161B2"/>
    <w:rsid w:val="00E37247"/>
    <w:rsid w:val="00E40F5E"/>
    <w:rsid w:val="00E5096F"/>
    <w:rsid w:val="00E63D8A"/>
    <w:rsid w:val="00E72DF1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33BB"/>
    <w:rsid w:val="00EE65C9"/>
    <w:rsid w:val="00F22C5B"/>
    <w:rsid w:val="00F313E6"/>
    <w:rsid w:val="00F64A6F"/>
    <w:rsid w:val="00FA4C1E"/>
    <w:rsid w:val="00FA6585"/>
    <w:rsid w:val="00FA7D4F"/>
    <w:rsid w:val="00FB03A8"/>
    <w:rsid w:val="00FB7D25"/>
    <w:rsid w:val="00FC4CA7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9132E"/>
  <w15:docId w15:val="{01F7D01B-8373-490C-AF6E-6EC9A02F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F57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48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5486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5486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17042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a4">
    <w:name w:val="Основний текст Знак"/>
    <w:link w:val="a3"/>
    <w:uiPriority w:val="99"/>
    <w:semiHidden/>
    <w:rsid w:val="008548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817042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sid w:val="0085486F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817042"/>
    <w:pPr>
      <w:widowControl/>
      <w:autoSpaceDE/>
      <w:autoSpaceDN/>
      <w:adjustRightInd/>
      <w:ind w:left="720"/>
      <w:jc w:val="both"/>
    </w:pPr>
    <w:rPr>
      <w:sz w:val="28"/>
      <w:szCs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sid w:val="0085486F"/>
    <w:rPr>
      <w:sz w:val="20"/>
      <w:szCs w:val="20"/>
    </w:rPr>
  </w:style>
  <w:style w:type="table" w:styleId="a7">
    <w:name w:val="Table Grid"/>
    <w:basedOn w:val="a1"/>
    <w:uiPriority w:val="99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52C8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85486F"/>
    <w:rPr>
      <w:sz w:val="20"/>
      <w:szCs w:val="20"/>
    </w:rPr>
  </w:style>
  <w:style w:type="character" w:styleId="aa">
    <w:name w:val="page number"/>
    <w:basedOn w:val="a0"/>
    <w:uiPriority w:val="99"/>
    <w:rsid w:val="00652C87"/>
  </w:style>
  <w:style w:type="paragraph" w:customStyle="1" w:styleId="ab">
    <w:name w:val="Стиль"/>
    <w:basedOn w:val="a"/>
    <w:uiPriority w:val="99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1">
    <w:name w:val="Заголовок №1_"/>
    <w:link w:val="12"/>
    <w:uiPriority w:val="99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E2277"/>
    <w:pPr>
      <w:shd w:val="clear" w:color="auto" w:fill="FFFFFF"/>
      <w:autoSpaceDE/>
      <w:autoSpaceDN/>
      <w:adjustRightInd/>
      <w:spacing w:before="660" w:after="120" w:line="240" w:lineRule="atLeast"/>
      <w:jc w:val="center"/>
      <w:outlineLvl w:val="0"/>
    </w:pPr>
    <w:rPr>
      <w:b/>
      <w:bCs/>
      <w:sz w:val="34"/>
      <w:szCs w:val="34"/>
    </w:rPr>
  </w:style>
  <w:style w:type="paragraph" w:customStyle="1" w:styleId="a00">
    <w:name w:val="a0"/>
    <w:basedOn w:val="a"/>
    <w:uiPriority w:val="99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Основний текст_"/>
    <w:link w:val="13"/>
    <w:uiPriority w:val="99"/>
    <w:locked/>
    <w:rsid w:val="00C6567D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c"/>
    <w:uiPriority w:val="99"/>
    <w:rsid w:val="00C6567D"/>
    <w:pPr>
      <w:shd w:val="clear" w:color="auto" w:fill="FFFFFF"/>
      <w:autoSpaceDE/>
      <w:autoSpaceDN/>
      <w:adjustRightInd/>
      <w:spacing w:after="1980" w:line="240" w:lineRule="atLeast"/>
    </w:pPr>
    <w:rPr>
      <w:sz w:val="26"/>
      <w:szCs w:val="26"/>
    </w:rPr>
  </w:style>
  <w:style w:type="paragraph" w:customStyle="1" w:styleId="tabl">
    <w:name w:val="tabl"/>
    <w:autoRedefine/>
    <w:uiPriority w:val="99"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uiPriority w:val="99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/>
    </w:rPr>
  </w:style>
  <w:style w:type="paragraph" w:styleId="ad">
    <w:name w:val="Balloon Text"/>
    <w:basedOn w:val="a"/>
    <w:link w:val="ae"/>
    <w:uiPriority w:val="99"/>
    <w:semiHidden/>
    <w:rsid w:val="0042452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f">
    <w:name w:val="footer"/>
    <w:basedOn w:val="a"/>
    <w:link w:val="af0"/>
    <w:uiPriority w:val="99"/>
    <w:rsid w:val="005978D0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locked/>
    <w:rsid w:val="005978D0"/>
    <w:rPr>
      <w:lang w:val="ru-RU" w:eastAsia="ru-RU"/>
    </w:rPr>
  </w:style>
  <w:style w:type="character" w:styleId="af1">
    <w:name w:val="annotation reference"/>
    <w:uiPriority w:val="99"/>
    <w:semiHidden/>
    <w:rsid w:val="0094495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94495F"/>
  </w:style>
  <w:style w:type="character" w:customStyle="1" w:styleId="af3">
    <w:name w:val="Текст примітки Знак"/>
    <w:link w:val="af2"/>
    <w:uiPriority w:val="99"/>
    <w:semiHidden/>
    <w:locked/>
    <w:rsid w:val="0094495F"/>
    <w:rPr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rsid w:val="0094495F"/>
    <w:rPr>
      <w:b/>
      <w:bCs/>
    </w:rPr>
  </w:style>
  <w:style w:type="character" w:customStyle="1" w:styleId="af5">
    <w:name w:val="Тема примітки Знак"/>
    <w:link w:val="af4"/>
    <w:uiPriority w:val="99"/>
    <w:semiHidden/>
    <w:locked/>
    <w:rsid w:val="0094495F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4847</Words>
  <Characters>2764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</cp:lastModifiedBy>
  <cp:revision>15</cp:revision>
  <cp:lastPrinted>2017-02-03T13:12:00Z</cp:lastPrinted>
  <dcterms:created xsi:type="dcterms:W3CDTF">2022-08-26T10:09:00Z</dcterms:created>
  <dcterms:modified xsi:type="dcterms:W3CDTF">2023-08-01T07:05:00Z</dcterms:modified>
</cp:coreProperties>
</file>